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8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3"/>
        <w:gridCol w:w="1701"/>
        <w:gridCol w:w="2451"/>
        <w:gridCol w:w="2160"/>
        <w:gridCol w:w="209"/>
        <w:gridCol w:w="527"/>
        <w:gridCol w:w="290"/>
        <w:gridCol w:w="1168"/>
        <w:gridCol w:w="1025"/>
        <w:gridCol w:w="14"/>
      </w:tblGrid>
      <w:tr w:rsidR="00BB2A7F" w:rsidRPr="00BB2A7F" w14:paraId="5B0E508F" w14:textId="77777777" w:rsidTr="001B2A34">
        <w:trPr>
          <w:gridAfter w:val="1"/>
          <w:wAfter w:w="14" w:type="dxa"/>
          <w:trHeight w:val="420"/>
        </w:trPr>
        <w:tc>
          <w:tcPr>
            <w:tcW w:w="11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4309" w14:textId="25DFA729" w:rsidR="00BB2A7F" w:rsidRPr="001B2A34" w:rsidRDefault="00BB2A7F" w:rsidP="001B2A34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國立陽明</w:t>
            </w:r>
            <w:r w:rsidR="009E7B18"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交通</w:t>
            </w: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大學臨床醫學研究所　</w:t>
            </w:r>
            <w:r w:rsidR="0044197A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  <w:r w:rsidR="0044197A">
              <w:rPr>
                <w:rFonts w:asciiTheme="majorEastAsia" w:eastAsiaTheme="majorEastAsia" w:hAnsiTheme="majorEastAsia"/>
                <w:b/>
                <w:szCs w:val="24"/>
              </w:rPr>
              <w:t>14</w:t>
            </w: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學年度第</w:t>
            </w:r>
            <w:r w:rsidR="009E7B18" w:rsidRPr="001B2A34">
              <w:rPr>
                <w:rFonts w:asciiTheme="majorEastAsia" w:eastAsiaTheme="majorEastAsia" w:hAnsiTheme="majorEastAsia"/>
                <w:b/>
                <w:szCs w:val="24"/>
              </w:rPr>
              <w:t>2</w:t>
            </w: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學期　授課進度表</w:t>
            </w:r>
          </w:p>
        </w:tc>
      </w:tr>
      <w:tr w:rsidR="00BB2A7F" w:rsidRPr="00BB2A7F" w14:paraId="660A0FC2" w14:textId="77777777" w:rsidTr="001B2A34">
        <w:trPr>
          <w:gridAfter w:val="1"/>
          <w:wAfter w:w="14" w:type="dxa"/>
          <w:trHeight w:val="330"/>
        </w:trPr>
        <w:tc>
          <w:tcPr>
            <w:tcW w:w="57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55B2D" w14:textId="77777777" w:rsidR="00BB2A7F" w:rsidRPr="001B2A34" w:rsidRDefault="00BB2A7F" w:rsidP="00BB2A7F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科目名稱：</w:t>
            </w:r>
            <w:r w:rsidR="003064D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8A552E" w:rsidRPr="001B2A34">
              <w:rPr>
                <w:rFonts w:asciiTheme="majorEastAsia" w:eastAsiaTheme="majorEastAsia" w:hAnsiTheme="majorEastAsia" w:hint="eastAsia"/>
                <w:szCs w:val="24"/>
              </w:rPr>
              <w:t>癌症藥物開發及臨床試驗</w:t>
            </w:r>
          </w:p>
          <w:p w14:paraId="4CF7AD2E" w14:textId="77777777" w:rsidR="00BB2A7F" w:rsidRPr="001B2A34" w:rsidRDefault="009E7B18" w:rsidP="00BB2A7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1B2A34">
              <w:rPr>
                <w:rFonts w:asciiTheme="majorEastAsia" w:eastAsiaTheme="majorEastAsia" w:hAnsiTheme="majorEastAsia"/>
                <w:szCs w:val="24"/>
              </w:rPr>
              <w:t>Cancer drug development and clinical trials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BA3C3" w14:textId="77777777" w:rsidR="00BB2A7F" w:rsidRPr="001B2A34" w:rsidRDefault="00BB2A7F" w:rsidP="00250E38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1B2A34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1B2A34">
              <w:rPr>
                <w:rFonts w:asciiTheme="majorEastAsia" w:eastAsiaTheme="majorEastAsia" w:hAnsiTheme="majorEastAsia" w:hint="eastAsia"/>
                <w:szCs w:val="24"/>
              </w:rPr>
              <w:t>科目代號：</w:t>
            </w:r>
            <w:r w:rsidR="003C67A5" w:rsidRPr="003C67A5">
              <w:rPr>
                <w:rFonts w:asciiTheme="majorEastAsia" w:eastAsiaTheme="majorEastAsia" w:hAnsiTheme="majorEastAsia"/>
                <w:szCs w:val="24"/>
              </w:rPr>
              <w:t>MDCM30062</w:t>
            </w:r>
            <w:r w:rsidRPr="001B2A34">
              <w:rPr>
                <w:rFonts w:asciiTheme="majorEastAsia" w:eastAsiaTheme="majorEastAsia" w:hAnsiTheme="majorEastAsia" w:hint="cs"/>
                <w:szCs w:val="24"/>
              </w:rPr>
              <w:t xml:space="preserve"> </w:t>
            </w:r>
            <w:proofErr w:type="gramStart"/>
            <w:r w:rsidRPr="001B2A34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</w:p>
        </w:tc>
        <w:tc>
          <w:tcPr>
            <w:tcW w:w="24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58D1" w14:textId="77777777" w:rsidR="00BB2A7F" w:rsidRPr="001B2A34" w:rsidRDefault="00BB2A7F" w:rsidP="00BB2A7F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學分數：</w:t>
            </w:r>
            <w:r w:rsidRPr="001B2A34">
              <w:rPr>
                <w:rFonts w:asciiTheme="majorEastAsia" w:eastAsiaTheme="majorEastAsia" w:hAnsiTheme="majorEastAsia"/>
                <w:szCs w:val="24"/>
              </w:rPr>
              <w:t xml:space="preserve">2  </w:t>
            </w:r>
            <w:r w:rsidRPr="001B2A34">
              <w:rPr>
                <w:rFonts w:asciiTheme="majorEastAsia" w:eastAsiaTheme="majorEastAsia" w:hAnsiTheme="majorEastAsia" w:hint="eastAsia"/>
                <w:szCs w:val="24"/>
              </w:rPr>
              <w:t>選修</w:t>
            </w:r>
          </w:p>
        </w:tc>
      </w:tr>
      <w:tr w:rsidR="00BB2A7F" w:rsidRPr="00BB2A7F" w14:paraId="57961962" w14:textId="77777777" w:rsidTr="001B2A34">
        <w:trPr>
          <w:gridAfter w:val="1"/>
          <w:wAfter w:w="14" w:type="dxa"/>
          <w:trHeight w:val="730"/>
        </w:trPr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B6A68" w14:textId="77777777" w:rsidR="00BB2A7F" w:rsidRPr="001B2A34" w:rsidRDefault="00BB2A7F" w:rsidP="00BB2A7F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時間：</w:t>
            </w:r>
          </w:p>
          <w:p w14:paraId="6FFDE4F4" w14:textId="77777777" w:rsidR="00BB2A7F" w:rsidRPr="001B2A34" w:rsidRDefault="00BB2A7F" w:rsidP="00BB2A7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週三</w:t>
            </w:r>
            <w:r w:rsidRPr="001B2A34">
              <w:rPr>
                <w:rFonts w:asciiTheme="majorEastAsia" w:eastAsiaTheme="majorEastAsia" w:hAnsiTheme="majorEastAsia"/>
                <w:b/>
                <w:szCs w:val="24"/>
              </w:rPr>
              <w:t xml:space="preserve"> 15:30-17:20</w:t>
            </w:r>
          </w:p>
        </w:tc>
        <w:tc>
          <w:tcPr>
            <w:tcW w:w="46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56849" w14:textId="77777777" w:rsidR="00BB2A7F" w:rsidRPr="001B2A34" w:rsidRDefault="00BB2A7F" w:rsidP="00BB2A7F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地點：</w:t>
            </w: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陽明大學</w:t>
            </w:r>
            <w:proofErr w:type="gramStart"/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守仁樓</w:t>
            </w:r>
            <w:proofErr w:type="gramEnd"/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一樓</w:t>
            </w:r>
            <w:r w:rsidRPr="001B2A34">
              <w:rPr>
                <w:rFonts w:asciiTheme="majorEastAsia" w:eastAsiaTheme="majorEastAsia" w:hAnsiTheme="majorEastAsia"/>
                <w:b/>
                <w:szCs w:val="24"/>
              </w:rPr>
              <w:t>105</w:t>
            </w:r>
            <w:r w:rsidRPr="001B2A34">
              <w:rPr>
                <w:rFonts w:asciiTheme="majorEastAsia" w:eastAsiaTheme="majorEastAsia" w:hAnsiTheme="majorEastAsia" w:hint="eastAsia"/>
                <w:b/>
                <w:szCs w:val="24"/>
              </w:rPr>
              <w:t>教室</w:t>
            </w:r>
          </w:p>
        </w:tc>
        <w:tc>
          <w:tcPr>
            <w:tcW w:w="321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BE44" w14:textId="77777777" w:rsidR="00BB2A7F" w:rsidRPr="001B2A34" w:rsidRDefault="00BB2A7F" w:rsidP="001B2A34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授課系級：碩士</w:t>
            </w:r>
            <w:r w:rsidRPr="001B2A34">
              <w:rPr>
                <w:rFonts w:asciiTheme="majorEastAsia" w:eastAsiaTheme="majorEastAsia" w:hAnsiTheme="majorEastAsia"/>
                <w:szCs w:val="24"/>
              </w:rPr>
              <w:t>(</w:t>
            </w:r>
            <w:r w:rsidRPr="001B2A34">
              <w:rPr>
                <w:rFonts w:asciiTheme="majorEastAsia" w:eastAsiaTheme="majorEastAsia" w:hAnsiTheme="majorEastAsia" w:hint="eastAsia"/>
                <w:szCs w:val="24"/>
              </w:rPr>
              <w:t>專</w:t>
            </w:r>
            <w:r w:rsidRPr="001B2A34">
              <w:rPr>
                <w:rFonts w:asciiTheme="majorEastAsia" w:eastAsiaTheme="majorEastAsia" w:hAnsiTheme="majorEastAsia"/>
                <w:szCs w:val="24"/>
              </w:rPr>
              <w:t>)</w:t>
            </w:r>
            <w:r w:rsidRPr="001B2A34">
              <w:rPr>
                <w:rFonts w:asciiTheme="majorEastAsia" w:eastAsiaTheme="majorEastAsia" w:hAnsiTheme="majorEastAsia" w:hint="eastAsia"/>
                <w:szCs w:val="24"/>
              </w:rPr>
              <w:t>班、博士（開放全校研究生選修）</w:t>
            </w:r>
          </w:p>
        </w:tc>
      </w:tr>
      <w:tr w:rsidR="00BB2A7F" w:rsidRPr="00BB2A7F" w14:paraId="4807F81C" w14:textId="77777777" w:rsidTr="001B2A34">
        <w:trPr>
          <w:gridAfter w:val="1"/>
          <w:wAfter w:w="14" w:type="dxa"/>
          <w:trHeight w:val="330"/>
        </w:trPr>
        <w:tc>
          <w:tcPr>
            <w:tcW w:w="111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A6E9" w14:textId="0F990F15" w:rsidR="00BB2A7F" w:rsidRPr="001B2A34" w:rsidRDefault="00BB2A7F" w:rsidP="009E7B18">
            <w:pPr>
              <w:rPr>
                <w:rFonts w:asciiTheme="majorEastAsia" w:eastAsiaTheme="majorEastAsia" w:hAnsiTheme="majorEastAsia"/>
                <w:szCs w:val="24"/>
              </w:rPr>
            </w:pPr>
            <w:r w:rsidRPr="001B2A34">
              <w:rPr>
                <w:rFonts w:asciiTheme="majorEastAsia" w:eastAsiaTheme="majorEastAsia" w:hAnsiTheme="majorEastAsia" w:hint="eastAsia"/>
                <w:szCs w:val="24"/>
              </w:rPr>
              <w:t>負責教師：</w:t>
            </w:r>
            <w:r w:rsidRPr="001B2A34">
              <w:rPr>
                <w:rFonts w:asciiTheme="majorEastAsia" w:eastAsiaTheme="majorEastAsia" w:hAnsiTheme="majorEastAsia"/>
                <w:szCs w:val="24"/>
              </w:rPr>
              <w:t xml:space="preserve">    </w:t>
            </w:r>
            <w:r w:rsidR="00322B8F" w:rsidRPr="001B2A34">
              <w:rPr>
                <w:rFonts w:asciiTheme="majorEastAsia" w:eastAsiaTheme="majorEastAsia" w:hAnsiTheme="majorEastAsia" w:hint="eastAsia"/>
                <w:szCs w:val="24"/>
              </w:rPr>
              <w:t>賴峻毅</w:t>
            </w:r>
            <w:r w:rsidR="00291E7F">
              <w:rPr>
                <w:rFonts w:asciiTheme="majorEastAsia" w:eastAsiaTheme="majorEastAsia" w:hAnsiTheme="majorEastAsia" w:hint="eastAsia"/>
                <w:szCs w:val="24"/>
              </w:rPr>
              <w:t>副</w:t>
            </w:r>
            <w:r w:rsidR="00322B8F" w:rsidRPr="001B2A34">
              <w:rPr>
                <w:rFonts w:asciiTheme="majorEastAsia" w:eastAsiaTheme="majorEastAsia" w:hAnsiTheme="majorEastAsia" w:hint="eastAsia"/>
                <w:szCs w:val="24"/>
              </w:rPr>
              <w:t>教授</w:t>
            </w:r>
            <w:r w:rsidR="009E7B18" w:rsidRPr="001B2A34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9E7B18" w:rsidRPr="001B2A34">
              <w:rPr>
                <w:rFonts w:asciiTheme="majorEastAsia" w:eastAsiaTheme="majorEastAsia" w:hAnsiTheme="majorEastAsia"/>
                <w:szCs w:val="24"/>
              </w:rPr>
              <w:t xml:space="preserve">      </w:t>
            </w:r>
            <w:r w:rsidRPr="001B2A34">
              <w:rPr>
                <w:rFonts w:asciiTheme="majorEastAsia" w:eastAsiaTheme="majorEastAsia" w:hAnsiTheme="majorEastAsia"/>
                <w:szCs w:val="24"/>
              </w:rPr>
              <w:t xml:space="preserve">          </w:t>
            </w:r>
            <w:r w:rsidRPr="001B2A34">
              <w:rPr>
                <w:rFonts w:asciiTheme="majorEastAsia" w:eastAsiaTheme="majorEastAsia" w:hAnsiTheme="majorEastAsia" w:hint="eastAsia"/>
                <w:szCs w:val="24"/>
              </w:rPr>
              <w:t>聯絡電話：</w:t>
            </w:r>
            <w:r w:rsidR="00562E45" w:rsidRPr="001B2A34">
              <w:rPr>
                <w:rFonts w:asciiTheme="majorEastAsia" w:eastAsiaTheme="majorEastAsia" w:hAnsiTheme="majorEastAsia"/>
                <w:szCs w:val="24"/>
              </w:rPr>
              <w:t>02-28267000 # 6505</w:t>
            </w:r>
          </w:p>
        </w:tc>
      </w:tr>
      <w:tr w:rsidR="00BB2A7F" w:rsidRPr="00BB2A7F" w14:paraId="2EAD5838" w14:textId="77777777" w:rsidTr="001B2A34">
        <w:trPr>
          <w:gridAfter w:val="1"/>
          <w:wAfter w:w="14" w:type="dxa"/>
          <w:trHeight w:val="330"/>
        </w:trPr>
        <w:tc>
          <w:tcPr>
            <w:tcW w:w="111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61E3D" w14:textId="77777777" w:rsidR="00BB2A7F" w:rsidRPr="001B2A34" w:rsidRDefault="00BB2A7F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課程大綱：</w:t>
            </w:r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簡介腫瘤藥物開發及相關</w:t>
            </w:r>
            <w:r w:rsidR="00562E45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臨床試驗設計概念，理論背景，執行實務</w:t>
            </w:r>
            <w:r w:rsidRPr="001B2A34">
              <w:rPr>
                <w:rFonts w:asciiTheme="minorEastAsia" w:eastAsiaTheme="minorEastAsia" w:hAnsiTheme="minorEastAsia"/>
                <w:sz w:val="20"/>
                <w:szCs w:val="20"/>
                <w:lang w:val="en"/>
              </w:rPr>
              <w:t xml:space="preserve"> </w:t>
            </w:r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  <w:p w14:paraId="6F8302B8" w14:textId="77777777" w:rsidR="009E7B18" w:rsidRPr="001B2A34" w:rsidRDefault="00BB2A7F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教學目標：</w:t>
            </w:r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腫瘤學為生</w:t>
            </w:r>
            <w:proofErr w:type="gramStart"/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醫</w:t>
            </w:r>
            <w:proofErr w:type="gramEnd"/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領域重要範疇</w:t>
            </w:r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，也是新藥開發與臨床試驗最大的適應症</w:t>
            </w:r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(indication)之</w:t>
            </w:r>
            <w:proofErr w:type="gramStart"/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一</w:t>
            </w:r>
            <w:proofErr w:type="gramEnd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。對生科/生</w:t>
            </w:r>
            <w:proofErr w:type="gramStart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醫領域之碩</w:t>
            </w:r>
            <w:proofErr w:type="gramEnd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，博士生，若對藥物開發或業界有興趣，癌症相關背景知識及藥物開發概念以至於臨床試驗設計</w:t>
            </w:r>
            <w:proofErr w:type="gramStart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概念均為重要</w:t>
            </w:r>
            <w:proofErr w:type="gramEnd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知識。若對學界相關研究有興趣，本</w:t>
            </w:r>
            <w:proofErr w:type="gramStart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堂課更能</w:t>
            </w:r>
            <w:proofErr w:type="gramEnd"/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提供腫瘤科臨床治療及藥物發展之全面性背景介紹。</w:t>
            </w:r>
          </w:p>
          <w:p w14:paraId="100C30BA" w14:textId="77777777" w:rsidR="009E7B18" w:rsidRPr="001B2A34" w:rsidRDefault="009E7B18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>授課講師為腫瘤科醫師及腫瘤生物學研究者。本學期課程分二部份：</w:t>
            </w:r>
            <w:r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前段課程介紹腫瘤學藥物，著重在</w:t>
            </w:r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>preclinical開發部份，後段課程以腫瘤學臨床試驗之發展進行介紹。</w:t>
            </w:r>
          </w:p>
          <w:p w14:paraId="3EB607FE" w14:textId="77777777" w:rsidR="009E7B18" w:rsidRPr="001B2A34" w:rsidRDefault="009E7B18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>腫瘤學藥物：包括化學治療，標靶，免疫治療，細胞治療的發展簡介及現在</w:t>
            </w:r>
            <w:proofErr w:type="gramStart"/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>在</w:t>
            </w:r>
            <w:proofErr w:type="gramEnd"/>
            <w:r w:rsidRPr="001B2A34">
              <w:rPr>
                <w:rFonts w:asciiTheme="minorEastAsia" w:eastAsiaTheme="minorEastAsia" w:hAnsiTheme="minorEastAsia"/>
                <w:sz w:val="20"/>
                <w:szCs w:val="20"/>
              </w:rPr>
              <w:t>腫瘤臨床界應用</w:t>
            </w:r>
          </w:p>
          <w:p w14:paraId="685D6C7E" w14:textId="77777777" w:rsidR="00BB2A7F" w:rsidRPr="001B2A34" w:rsidRDefault="009E7B18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臨床試驗：</w:t>
            </w:r>
            <w:r w:rsidR="00635182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本課程有別於一般臨床試驗課程，盼能從不同角度提供觀點。每堂課預計深入介紹1-2個臨床試驗，從疾病簡介，設計臨床試驗時之藥物治療背景，試驗之納入及排除條件，統計簡介，試驗結果作全面性介紹。尤其著重於臨床試驗藥物之設計概念，以及簡單介紹背後相關之preclinical相關研究，藥物開發，商業考量等。</w:t>
            </w:r>
          </w:p>
          <w:p w14:paraId="63181A14" w14:textId="45F837FC" w:rsidR="00A70C51" w:rsidRPr="001B2A34" w:rsidRDefault="00A70C51" w:rsidP="00BB2A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本課程</w:t>
            </w:r>
            <w:r w:rsidR="009E7B18" w:rsidRPr="001B2A34">
              <w:rPr>
                <w:rFonts w:asciiTheme="minorEastAsia" w:eastAsiaTheme="minorEastAsia" w:hAnsiTheme="minorEastAsia" w:hint="eastAsia"/>
                <w:sz w:val="20"/>
                <w:szCs w:val="20"/>
              </w:rPr>
              <w:t>適合</w:t>
            </w:r>
            <w:proofErr w:type="gramStart"/>
            <w:r w:rsidR="009E7B18" w:rsidRPr="00852CDE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”</w:t>
            </w:r>
            <w:proofErr w:type="gramEnd"/>
            <w:r w:rsidR="009E7B18" w:rsidRPr="00852CDE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非醫師背景學生</w:t>
            </w:r>
            <w:proofErr w:type="gramStart"/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”之碩博士</w:t>
            </w:r>
            <w:proofErr w:type="gramEnd"/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生，尤其</w:t>
            </w:r>
            <w:r w:rsidR="009E7B18" w:rsidRPr="00291E7F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若有興趣於臨床業界（包括腫瘤科</w:t>
            </w:r>
            <w:r w:rsidR="009E7B18" w:rsidRPr="00291E7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  <w:r w:rsidR="009E7B18" w:rsidRPr="00291E7F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或腫瘤生物學學界者修習</w:t>
            </w:r>
            <w:r w:rsidR="009E7B18" w:rsidRPr="001B2A34">
              <w:rPr>
                <w:rFonts w:asciiTheme="minorEastAsia" w:eastAsiaTheme="minorEastAsia" w:hAnsiTheme="minorEastAsia"/>
                <w:sz w:val="20"/>
                <w:szCs w:val="20"/>
              </w:rPr>
              <w:t>。</w:t>
            </w:r>
          </w:p>
        </w:tc>
      </w:tr>
      <w:tr w:rsidR="00BB2A7F" w:rsidRPr="00BB2A7F" w14:paraId="33FBA8FD" w14:textId="77777777" w:rsidTr="001B2A34">
        <w:trPr>
          <w:trHeight w:val="33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1E25D9" w14:textId="77777777" w:rsidR="00BB2A7F" w:rsidRPr="00C30863" w:rsidRDefault="00BB2A7F" w:rsidP="001B2A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日　　期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ED6F0" w14:textId="77777777" w:rsidR="00BB2A7F" w:rsidRPr="00C30863" w:rsidRDefault="00BB2A7F" w:rsidP="001B2A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講　　　　　　　　　　題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A89E9D" w14:textId="77777777" w:rsidR="00BB2A7F" w:rsidRPr="00C30863" w:rsidRDefault="00BB2A7F" w:rsidP="001B2A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時　數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B650" w14:textId="77777777" w:rsidR="00BB2A7F" w:rsidRPr="001B2A34" w:rsidRDefault="00BB2A7F" w:rsidP="001B2A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B2A34">
              <w:rPr>
                <w:rFonts w:asciiTheme="minorEastAsia" w:eastAsiaTheme="minorEastAsia" w:hAnsiTheme="minorEastAsia" w:hint="eastAsia"/>
                <w:szCs w:val="24"/>
              </w:rPr>
              <w:t>教師姓名</w:t>
            </w:r>
          </w:p>
        </w:tc>
        <w:tc>
          <w:tcPr>
            <w:tcW w:w="1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0DA1" w14:textId="77777777" w:rsidR="00BB2A7F" w:rsidRPr="001B2A34" w:rsidRDefault="00BB2A7F" w:rsidP="001B2A3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B2A34">
              <w:rPr>
                <w:rFonts w:asciiTheme="minorEastAsia" w:eastAsiaTheme="minorEastAsia" w:hAnsiTheme="minorEastAsia" w:hint="eastAsia"/>
                <w:szCs w:val="24"/>
              </w:rPr>
              <w:t>職稱</w:t>
            </w:r>
          </w:p>
        </w:tc>
      </w:tr>
      <w:tr w:rsidR="00291E7F" w:rsidRPr="00BB2A7F" w14:paraId="6658A234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EC109" w14:textId="62522E37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-02-25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A2042" w14:textId="05908E18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I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>ntroduction of cancer medicine lan</w:t>
            </w:r>
            <w:r w:rsidRPr="00C30863">
              <w:rPr>
                <w:rFonts w:asciiTheme="minorEastAsia" w:eastAsiaTheme="minorEastAsia" w:hAnsiTheme="minorEastAsia" w:hint="eastAsia"/>
                <w:szCs w:val="24"/>
              </w:rPr>
              <w:t>d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>scape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C46981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105880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B2A34">
              <w:rPr>
                <w:rFonts w:asciiTheme="minorEastAsia" w:eastAsiaTheme="minorEastAsia" w:hAnsiTheme="minorEastAsia" w:hint="eastAsia"/>
                <w:szCs w:val="24"/>
              </w:rPr>
              <w:t>賴峻毅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F1FE9C9" w14:textId="7EAE4F1B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副</w:t>
            </w:r>
            <w:r w:rsidRPr="001B2A34">
              <w:rPr>
                <w:rFonts w:asciiTheme="minorEastAsia" w:eastAsiaTheme="minorEastAsia" w:hAnsiTheme="minorEastAsia" w:hint="eastAsia"/>
                <w:szCs w:val="24"/>
                <w:lang w:eastAsia="zh-HK"/>
              </w:rPr>
              <w:t>教授</w:t>
            </w:r>
          </w:p>
        </w:tc>
      </w:tr>
      <w:tr w:rsidR="00291E7F" w:rsidRPr="00BB2A7F" w14:paraId="64090BE4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38B17" w14:textId="48935B06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-03-04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BE845" w14:textId="15A7EDE3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I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>ntroduction of chemotherapy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A5CBC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45E95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D3C24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79B8CB33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A095D" w14:textId="43CD022F" w:rsidR="00291E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-03-11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5FEF6" w14:textId="665DD5A9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I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>ntroduction of targeted therapy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31CD4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5B55A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0A58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4A96578C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85FAF" w14:textId="2AD9AC1A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-03-18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B95A9" w14:textId="38DA9713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I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>ntroduction of immunotherapy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97379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FC531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CD9A6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4175F409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97014" w14:textId="7BAC31EA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-03-25</w:t>
            </w: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D570D" w14:textId="34E29636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Antibody drug conjugates</w:t>
            </w:r>
          </w:p>
        </w:tc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178E0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6D342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3796C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25CAB368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FC1E7" w14:textId="1803E15C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-04-01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EA372" w14:textId="73A95514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Cell therapy in cancer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10ECD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1A5C4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11B22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106EE9D1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15E44" w14:textId="67E949EE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-04-08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A4D78" w14:textId="48164941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Basic concepts</w:t>
            </w:r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 of clinical trials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in cancer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AA453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ED2AE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51E79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2EC525B2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CB2F2" w14:textId="7BC6228C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-04-15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9B459" w14:textId="68C53B7E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期中考</w:t>
            </w:r>
            <w:proofErr w:type="gramStart"/>
            <w:r>
              <w:rPr>
                <w:rFonts w:asciiTheme="minorEastAsia" w:eastAsiaTheme="minorEastAsia" w:hAnsiTheme="minorEastAsia" w:hint="eastAsia"/>
                <w:szCs w:val="24"/>
              </w:rPr>
              <w:t>週</w:t>
            </w:r>
            <w:proofErr w:type="gramEnd"/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88A48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DBEBB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AC5DB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79975F67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43EDE9" w14:textId="7B28550F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-04-22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AF217" w14:textId="34D633CB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/>
                <w:szCs w:val="24"/>
              </w:rPr>
              <w:t>The story of endpoints (I): insights from the OBI-822 trial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62C27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8BF2B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A96C8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36BE4AC1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3F013" w14:textId="5554188F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-04-29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8DD3E8" w14:textId="188DC4A5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/>
                <w:szCs w:val="24"/>
              </w:rPr>
              <w:t>The story of endpoints (II): CLEOPATRA trial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73E4D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DF3B5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B112A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1C28CD8E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6A76E" w14:textId="163F0663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-05-06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1EE37" w14:textId="11BDB5E0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/>
                <w:szCs w:val="24"/>
              </w:rPr>
              <w:t>Choosing the right opponent: KEYNOTE-040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CAA38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F1F3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0B552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76E438AB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284FE" w14:textId="0AE4AEAD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-05-13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4FE42" w14:textId="35F7143D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The fastest record holder: </w:t>
            </w:r>
            <w:proofErr w:type="spellStart"/>
            <w:r w:rsidRPr="00C30863">
              <w:rPr>
                <w:rFonts w:asciiTheme="minorEastAsia" w:eastAsiaTheme="minorEastAsia" w:hAnsiTheme="minorEastAsia"/>
                <w:szCs w:val="24"/>
              </w:rPr>
              <w:t>Glivec</w:t>
            </w:r>
            <w:proofErr w:type="spellEnd"/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EAF8BB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4CDBE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5A128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3E6FCA9B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F00B8" w14:textId="020DEADC" w:rsidR="00291E7F" w:rsidRPr="00C11F35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-05-20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B4B6A" w14:textId="62D03509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Hope is </w:t>
            </w:r>
            <w:proofErr w:type="gramStart"/>
            <w:r w:rsidRPr="00C30863">
              <w:rPr>
                <w:rFonts w:asciiTheme="minorEastAsia" w:eastAsiaTheme="minorEastAsia" w:hAnsiTheme="minorEastAsia"/>
                <w:szCs w:val="24"/>
              </w:rPr>
              <w:t>lost?</w:t>
            </w:r>
            <w:proofErr w:type="gramEnd"/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proofErr w:type="spellStart"/>
            <w:r w:rsidRPr="00C30863">
              <w:rPr>
                <w:rFonts w:asciiTheme="minorEastAsia" w:eastAsiaTheme="minorEastAsia" w:hAnsiTheme="minorEastAsia"/>
                <w:szCs w:val="24"/>
              </w:rPr>
              <w:t>Olaratumumab</w:t>
            </w:r>
            <w:proofErr w:type="spellEnd"/>
            <w:r w:rsidRPr="00C30863">
              <w:rPr>
                <w:rFonts w:asciiTheme="minorEastAsia" w:eastAsiaTheme="minorEastAsia" w:hAnsiTheme="minorEastAsia"/>
                <w:szCs w:val="24"/>
              </w:rPr>
              <w:t xml:space="preserve"> in the ANNOUNCE trial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900AA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B6DD2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0F910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6D4A7292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C7672" w14:textId="6AF79C63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-05-27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B0646" w14:textId="05C08920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CDK4/6 inhibitors in breast cancer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C7B28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D6B33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0649CF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5CD775F8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A4C37" w14:textId="38377116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115-</w:t>
            </w:r>
            <w:r w:rsidRPr="00252BEB">
              <w:rPr>
                <w:b/>
              </w:rPr>
              <w:t>06-03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AB983" w14:textId="60AEEB9B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52CDE">
              <w:rPr>
                <w:rFonts w:asciiTheme="minorEastAsia" w:eastAsiaTheme="minorEastAsia" w:hAnsiTheme="minorEastAsia"/>
                <w:szCs w:val="24"/>
              </w:rPr>
              <w:t xml:space="preserve">Improving outcomes in early cancer: </w:t>
            </w:r>
            <w:proofErr w:type="spellStart"/>
            <w:r w:rsidRPr="00852CDE">
              <w:rPr>
                <w:rFonts w:asciiTheme="minorEastAsia" w:eastAsiaTheme="minorEastAsia" w:hAnsiTheme="minorEastAsia"/>
                <w:szCs w:val="24"/>
              </w:rPr>
              <w:t>monarchE</w:t>
            </w:r>
            <w:proofErr w:type="spellEnd"/>
            <w:r>
              <w:rPr>
                <w:rFonts w:asciiTheme="minorEastAsia" w:eastAsiaTheme="minorEastAsia" w:hAnsiTheme="minorEastAsia" w:hint="eastAsia"/>
                <w:szCs w:val="24"/>
              </w:rPr>
              <w:t>,</w:t>
            </w:r>
            <w:r w:rsidRPr="00852CDE">
              <w:rPr>
                <w:rFonts w:asciiTheme="minorEastAsia" w:eastAsiaTheme="minorEastAsia" w:hAnsiTheme="minorEastAsia"/>
                <w:szCs w:val="24"/>
              </w:rPr>
              <w:t xml:space="preserve"> CHECKMATE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274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BC723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33699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25DDC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25220987" w14:textId="77777777" w:rsidTr="00C30863">
        <w:trPr>
          <w:gridAfter w:val="1"/>
          <w:wAfter w:w="14" w:type="dxa"/>
          <w:trHeight w:val="340"/>
        </w:trPr>
        <w:tc>
          <w:tcPr>
            <w:tcW w:w="1593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0D59C03" w14:textId="41FA31C8" w:rsidR="00291E7F" w:rsidRPr="00BB2A7F" w:rsidRDefault="00291E7F" w:rsidP="00291E7F">
            <w:pPr>
              <w:rPr>
                <w:b/>
              </w:rPr>
            </w:pPr>
            <w:r>
              <w:rPr>
                <w:b/>
              </w:rPr>
              <w:t>115</w:t>
            </w:r>
            <w:r>
              <w:rPr>
                <w:rFonts w:hint="eastAsia"/>
                <w:b/>
              </w:rPr>
              <w:t>-06-10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DCEEEAA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期末考</w:t>
            </w:r>
            <w:proofErr w:type="gramStart"/>
            <w:r w:rsidRPr="00C30863">
              <w:rPr>
                <w:rFonts w:asciiTheme="minorEastAsia" w:eastAsiaTheme="minorEastAsia" w:hAnsiTheme="minorEastAsia" w:hint="eastAsia"/>
                <w:szCs w:val="24"/>
              </w:rPr>
              <w:t>週</w:t>
            </w:r>
            <w:proofErr w:type="gramEnd"/>
            <w:r w:rsidRPr="00C30863">
              <w:rPr>
                <w:rFonts w:asciiTheme="minorEastAsia" w:eastAsiaTheme="minorEastAsia" w:hAnsiTheme="minorEastAsia" w:hint="eastAsia"/>
                <w:szCs w:val="24"/>
              </w:rPr>
              <w:tab/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6A6C5D9" w14:textId="77777777" w:rsidR="00291E7F" w:rsidRPr="00C30863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30863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10AB8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51C77" w14:textId="77777777" w:rsidR="00291E7F" w:rsidRPr="001B2A34" w:rsidRDefault="00291E7F" w:rsidP="00291E7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91E7F" w:rsidRPr="00BB2A7F" w14:paraId="5B1F2C16" w14:textId="77777777" w:rsidTr="001B2A34">
        <w:trPr>
          <w:gridAfter w:val="1"/>
          <w:wAfter w:w="14" w:type="dxa"/>
          <w:trHeight w:val="330"/>
        </w:trPr>
        <w:tc>
          <w:tcPr>
            <w:tcW w:w="11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431B" w14:textId="77777777" w:rsidR="00291E7F" w:rsidRPr="001B2A34" w:rsidRDefault="00291E7F" w:rsidP="00291E7F">
            <w:pPr>
              <w:rPr>
                <w:rFonts w:asciiTheme="minorEastAsia" w:eastAsiaTheme="minorEastAsia" w:hAnsiTheme="minorEastAsia"/>
                <w:szCs w:val="24"/>
              </w:rPr>
            </w:pPr>
            <w:r w:rsidRPr="001B2A34">
              <w:rPr>
                <w:rFonts w:asciiTheme="minorEastAsia" w:eastAsiaTheme="minorEastAsia" w:hAnsiTheme="minorEastAsia" w:hint="eastAsia"/>
                <w:szCs w:val="24"/>
              </w:rPr>
              <w:t>教科書名：</w:t>
            </w:r>
            <w:r w:rsidRPr="001B2A34">
              <w:rPr>
                <w:rFonts w:asciiTheme="minorEastAsia" w:eastAsiaTheme="minorEastAsia" w:hAnsiTheme="minorEastAsia"/>
                <w:szCs w:val="24"/>
              </w:rPr>
              <w:t xml:space="preserve">Fundamentals of Clinical Trials 5th ed. 2015 </w:t>
            </w:r>
            <w:proofErr w:type="spellStart"/>
            <w:r w:rsidRPr="001B2A34">
              <w:rPr>
                <w:rFonts w:asciiTheme="minorEastAsia" w:eastAsiaTheme="minorEastAsia" w:hAnsiTheme="minorEastAsia"/>
                <w:szCs w:val="24"/>
              </w:rPr>
              <w:t>Edition.Lawrence</w:t>
            </w:r>
            <w:proofErr w:type="spellEnd"/>
            <w:r w:rsidRPr="001B2A34">
              <w:rPr>
                <w:rFonts w:asciiTheme="minorEastAsia" w:eastAsiaTheme="minorEastAsia" w:hAnsiTheme="minorEastAsia"/>
                <w:szCs w:val="24"/>
              </w:rPr>
              <w:t xml:space="preserve"> M. </w:t>
            </w:r>
            <w:proofErr w:type="gramStart"/>
            <w:r w:rsidRPr="001B2A34">
              <w:rPr>
                <w:rFonts w:asciiTheme="minorEastAsia" w:eastAsiaTheme="minorEastAsia" w:hAnsiTheme="minorEastAsia"/>
                <w:szCs w:val="24"/>
              </w:rPr>
              <w:t>Friedman ,</w:t>
            </w:r>
            <w:proofErr w:type="gramEnd"/>
            <w:r w:rsidRPr="001B2A34">
              <w:rPr>
                <w:rFonts w:asciiTheme="minorEastAsia" w:eastAsiaTheme="minorEastAsia" w:hAnsiTheme="minorEastAsia"/>
                <w:szCs w:val="24"/>
              </w:rPr>
              <w:t xml:space="preserve"> Curt D. </w:t>
            </w:r>
            <w:proofErr w:type="spellStart"/>
            <w:r w:rsidRPr="001B2A34">
              <w:rPr>
                <w:rFonts w:asciiTheme="minorEastAsia" w:eastAsiaTheme="minorEastAsia" w:hAnsiTheme="minorEastAsia"/>
                <w:szCs w:val="24"/>
              </w:rPr>
              <w:t>Furberg</w:t>
            </w:r>
            <w:proofErr w:type="spellEnd"/>
            <w:r w:rsidRPr="001B2A34">
              <w:rPr>
                <w:rFonts w:asciiTheme="minorEastAsia" w:eastAsiaTheme="minorEastAsia" w:hAnsiTheme="minorEastAsia"/>
                <w:szCs w:val="24"/>
              </w:rPr>
              <w:t xml:space="preserve">, David L. </w:t>
            </w:r>
            <w:proofErr w:type="spellStart"/>
            <w:r w:rsidRPr="001B2A34">
              <w:rPr>
                <w:rFonts w:asciiTheme="minorEastAsia" w:eastAsiaTheme="minorEastAsia" w:hAnsiTheme="minorEastAsia"/>
                <w:szCs w:val="24"/>
              </w:rPr>
              <w:t>DeMets</w:t>
            </w:r>
            <w:proofErr w:type="spellEnd"/>
            <w:r w:rsidRPr="001B2A34">
              <w:rPr>
                <w:rFonts w:asciiTheme="minorEastAsia" w:eastAsiaTheme="minorEastAsia" w:hAnsiTheme="minorEastAsia"/>
                <w:szCs w:val="24"/>
              </w:rPr>
              <w:t xml:space="preserve">, David M. </w:t>
            </w:r>
            <w:proofErr w:type="spellStart"/>
            <w:r w:rsidRPr="001B2A34">
              <w:rPr>
                <w:rFonts w:asciiTheme="minorEastAsia" w:eastAsiaTheme="minorEastAsia" w:hAnsiTheme="minorEastAsia"/>
                <w:szCs w:val="24"/>
              </w:rPr>
              <w:t>Reboussin</w:t>
            </w:r>
            <w:proofErr w:type="spellEnd"/>
            <w:r w:rsidRPr="001B2A34">
              <w:rPr>
                <w:rFonts w:asciiTheme="minorEastAsia" w:eastAsiaTheme="minorEastAsia" w:hAnsiTheme="minorEastAsia"/>
                <w:szCs w:val="24"/>
              </w:rPr>
              <w:t>, Christopher B. Granger</w:t>
            </w:r>
            <w:r w:rsidRPr="001B2A34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 w:rsidRPr="001B2A34">
              <w:rPr>
                <w:rFonts w:asciiTheme="minorEastAsia" w:eastAsiaTheme="minorEastAsia" w:hAnsiTheme="minorEastAsia"/>
                <w:szCs w:val="24"/>
              </w:rPr>
              <w:t>ISBN-13: 978-3319185385</w:t>
            </w:r>
          </w:p>
        </w:tc>
      </w:tr>
    </w:tbl>
    <w:p w14:paraId="55EB3A8E" w14:textId="77777777" w:rsidR="00F95693" w:rsidRDefault="00F95693" w:rsidP="001B2A34"/>
    <w:sectPr w:rsidR="00F95693" w:rsidSect="00BB2A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7F"/>
    <w:rsid w:val="000071D7"/>
    <w:rsid w:val="00064F5F"/>
    <w:rsid w:val="001B2A34"/>
    <w:rsid w:val="00250E38"/>
    <w:rsid w:val="00291E7F"/>
    <w:rsid w:val="003064D1"/>
    <w:rsid w:val="00322B8F"/>
    <w:rsid w:val="003255DD"/>
    <w:rsid w:val="003C553D"/>
    <w:rsid w:val="003C67A5"/>
    <w:rsid w:val="00434DDD"/>
    <w:rsid w:val="0044197A"/>
    <w:rsid w:val="00562E45"/>
    <w:rsid w:val="005852CA"/>
    <w:rsid w:val="00635182"/>
    <w:rsid w:val="00666C33"/>
    <w:rsid w:val="006C386A"/>
    <w:rsid w:val="00780740"/>
    <w:rsid w:val="0079675C"/>
    <w:rsid w:val="007B6935"/>
    <w:rsid w:val="007F5BC5"/>
    <w:rsid w:val="0083683E"/>
    <w:rsid w:val="00845433"/>
    <w:rsid w:val="00852CDE"/>
    <w:rsid w:val="00892082"/>
    <w:rsid w:val="008A552E"/>
    <w:rsid w:val="008B4FC4"/>
    <w:rsid w:val="009E7B18"/>
    <w:rsid w:val="00A70C51"/>
    <w:rsid w:val="00B130B3"/>
    <w:rsid w:val="00BB2A7F"/>
    <w:rsid w:val="00C30863"/>
    <w:rsid w:val="00C50C64"/>
    <w:rsid w:val="00C6451E"/>
    <w:rsid w:val="00CC157A"/>
    <w:rsid w:val="00D754FB"/>
    <w:rsid w:val="00DE05C0"/>
    <w:rsid w:val="00DE7FDC"/>
    <w:rsid w:val="00DF5C67"/>
    <w:rsid w:val="00E36389"/>
    <w:rsid w:val="00EE166C"/>
    <w:rsid w:val="00F33181"/>
    <w:rsid w:val="00F94BD3"/>
    <w:rsid w:val="00F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AFAC"/>
  <w15:chartTrackingRefBased/>
  <w15:docId w15:val="{F288108E-6DBC-4131-9074-AE82BDC4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1181</Characters>
  <Application>Microsoft Office Word</Application>
  <DocSecurity>0</DocSecurity>
  <Lines>90</Lines>
  <Paragraphs>81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Joseph Lai</cp:lastModifiedBy>
  <cp:revision>2</cp:revision>
  <dcterms:created xsi:type="dcterms:W3CDTF">2026-01-15T08:16:00Z</dcterms:created>
  <dcterms:modified xsi:type="dcterms:W3CDTF">2026-01-15T08:16:00Z</dcterms:modified>
</cp:coreProperties>
</file>